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社区康复分会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阿尔滋海默症及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认知障碍 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专业委员会委员候选人推荐表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eastAsia="zh-CN"/>
        </w:rPr>
        <w:t xml:space="preserve">451705663@qq.com </w:t>
      </w:r>
      <w:r>
        <w:rPr>
          <w:rFonts w:hint="eastAsia"/>
          <w:sz w:val="18"/>
          <w:szCs w:val="18"/>
        </w:rPr>
        <w:t xml:space="preserve">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1927"/>
    <w:rsid w:val="24E61927"/>
    <w:rsid w:val="582317FB"/>
    <w:rsid w:val="6DC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2019-01-22T02:51:00Z</dcterms:created>
  <dc:creator>范庆</dc:creator>
  <cp:lastModifiedBy>范庆</cp:lastModifiedBy>
  <dcterms:modified xsi:type="dcterms:W3CDTF">2019-01-22T06:38:38Z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